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drawing>
          <wp:inline distT="0" distB="0" distL="0" distR="0">
            <wp:extent cx="990600" cy="6286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2"/>
                    <a:stretch>
                      <a:fillRect/>
                    </a:stretch>
                  </pic:blipFill>
                  <pic:spPr bwMode="auto">
                    <a:xfrm>
                      <a:off x="0" y="0"/>
                      <a:ext cx="990600" cy="628650"/>
                    </a:xfrm>
                    <a:prstGeom prst="rect">
                      <a:avLst/>
                    </a:prstGeom>
                    <a:noFill/>
                  </pic:spPr>
                </pic:pic>
              </a:graphicData>
            </a:graphic>
          </wp:inline>
        </w:drawing>
      </w:r>
      <w:r>
        <w:rPr>
          <w:b/>
          <w:bCs/>
        </w:rPr>
        <w:tab/>
        <w:tab/>
      </w:r>
    </w:p>
    <w:p>
      <w:pPr>
        <w:pStyle w:val="Normal"/>
        <w:jc w:val="center"/>
        <w:rPr>
          <w:b/>
          <w:bCs/>
        </w:rPr>
      </w:pPr>
      <w:r>
        <w:rPr>
          <w:b/>
          <w:bCs/>
          <w:sz w:val="32"/>
          <w:szCs w:val="32"/>
        </w:rPr>
        <w:t xml:space="preserve">Ata da assembleia de 18 de outubro </w:t>
      </w:r>
      <w:r>
        <w:rPr>
          <w:b/>
          <w:bCs/>
          <w:sz w:val="32"/>
          <w:szCs w:val="32"/>
        </w:rPr>
        <w:t>de 2025</w:t>
      </w:r>
    </w:p>
    <w:p>
      <w:pPr>
        <w:pStyle w:val="Normal"/>
        <w:rPr/>
      </w:pPr>
      <w:r>
        <w:rPr/>
      </w:r>
    </w:p>
    <w:p>
      <w:pPr>
        <w:pStyle w:val="Normal"/>
        <w:rPr>
          <w:rFonts w:ascii="Times New Roman" w:hAnsi="Times New Roman"/>
          <w:sz w:val="24"/>
          <w:szCs w:val="24"/>
        </w:rPr>
      </w:pPr>
      <w:r>
        <w:rPr>
          <w:rFonts w:ascii="Times New Roman" w:hAnsi="Times New Roman"/>
          <w:b/>
          <w:bCs/>
          <w:sz w:val="24"/>
          <w:szCs w:val="24"/>
        </w:rPr>
        <w:t xml:space="preserve">Primeira chamada: </w:t>
      </w:r>
      <w:r>
        <w:rPr>
          <w:rFonts w:ascii="Times New Roman" w:hAnsi="Times New Roman"/>
          <w:sz w:val="24"/>
          <w:szCs w:val="24"/>
        </w:rPr>
        <w:t xml:space="preserve">15h. </w:t>
      </w:r>
      <w:r>
        <w:rPr>
          <w:rFonts w:ascii="Times New Roman" w:hAnsi="Times New Roman"/>
          <w:b/>
          <w:bCs/>
          <w:sz w:val="24"/>
          <w:szCs w:val="24"/>
        </w:rPr>
        <w:t xml:space="preserve">Segunda chamada: </w:t>
      </w:r>
      <w:r>
        <w:rPr>
          <w:rFonts w:ascii="Times New Roman" w:hAnsi="Times New Roman"/>
          <w:sz w:val="24"/>
          <w:szCs w:val="24"/>
        </w:rPr>
        <w:t xml:space="preserve">15h30m </w:t>
      </w:r>
    </w:p>
    <w:p>
      <w:pPr>
        <w:pStyle w:val="Normal"/>
        <w:rPr>
          <w:rFonts w:ascii="Times New Roman" w:hAnsi="Times New Roman"/>
          <w:sz w:val="24"/>
          <w:szCs w:val="24"/>
        </w:rPr>
      </w:pPr>
      <w:r>
        <w:rPr>
          <w:rFonts w:ascii="Times New Roman" w:hAnsi="Times New Roman"/>
          <w:b/>
          <w:bCs/>
          <w:sz w:val="24"/>
          <w:szCs w:val="24"/>
        </w:rPr>
        <w:t>Participantes</w:t>
      </w:r>
      <w:r>
        <w:rPr>
          <w:rFonts w:ascii="Times New Roman" w:hAnsi="Times New Roman"/>
          <w:sz w:val="24"/>
          <w:szCs w:val="24"/>
        </w:rPr>
        <w:t>: Luis, Mayra, Paulinho, Renato, Pedro e André</w:t>
      </w:r>
    </w:p>
    <w:p>
      <w:pPr>
        <w:pStyle w:val="Normal"/>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bCs/>
          <w:sz w:val="24"/>
          <w:szCs w:val="24"/>
        </w:rPr>
        <w:t xml:space="preserve">Informes: </w:t>
      </w:r>
    </w:p>
    <w:p>
      <w:pPr>
        <w:pStyle w:val="Normal"/>
        <w:jc w:val="both"/>
        <w:rPr>
          <w:rFonts w:ascii="Times New Roman" w:hAnsi="Times New Roman"/>
          <w:sz w:val="24"/>
          <w:szCs w:val="24"/>
        </w:rPr>
      </w:pPr>
      <w:r>
        <w:rPr>
          <w:rFonts w:ascii="Times New Roman" w:hAnsi="Times New Roman"/>
          <w:b/>
          <w:bCs/>
          <w:sz w:val="24"/>
          <w:szCs w:val="24"/>
        </w:rPr>
        <w:t>(Renato)</w:t>
      </w:r>
      <w:r>
        <w:rPr>
          <w:rFonts w:ascii="Times New Roman" w:hAnsi="Times New Roman"/>
          <w:sz w:val="24"/>
          <w:szCs w:val="24"/>
        </w:rPr>
        <w:t xml:space="preserve"> Relatou que recentemente descobriu a existência de um grupo de Whatsapp com 50 pessoas da região serrana do Rio de Janeiro intitulado AGB; comentou achar possível uma articulação para eventos e ações no local. </w:t>
      </w:r>
    </w:p>
    <w:p>
      <w:pPr>
        <w:pStyle w:val="Normal"/>
        <w:jc w:val="both"/>
        <w:rPr>
          <w:rFonts w:ascii="Times New Roman" w:hAnsi="Times New Roman"/>
          <w:sz w:val="24"/>
          <w:szCs w:val="24"/>
        </w:rPr>
      </w:pPr>
      <w:r>
        <w:rPr>
          <w:rFonts w:ascii="Times New Roman" w:hAnsi="Times New Roman"/>
          <w:b/>
          <w:bCs/>
          <w:sz w:val="24"/>
          <w:szCs w:val="24"/>
        </w:rPr>
        <w:t>GT Ecologia Política</w:t>
      </w:r>
      <w:r>
        <w:rPr>
          <w:rFonts w:ascii="Times New Roman" w:hAnsi="Times New Roman"/>
          <w:sz w:val="24"/>
          <w:szCs w:val="24"/>
        </w:rPr>
        <w:t xml:space="preserve">: (André) Comentou sobre o ciclo de mesas que o GT vem articulando com o objetivo de ampliar e conectar os integrantes do MAM que estão iniciando a construção do movimento no Rio de Janeiro. Nesse primeiro momento estão sendo realizadas mesas nas universidades do estado, duas já ocorreram na UFF/Niterói e na UFRJ. André também relatou que esteve presente em um evento do MST enquanto representando do GT. A ideia do movimento é organizar uma assembleia no dia 13 de dezembro em Santa Cruz com a participação dos vários setores da sociedade para discutir crise climática, capitalismo verde e temas afins. </w:t>
      </w:r>
    </w:p>
    <w:p>
      <w:pPr>
        <w:pStyle w:val="Normal"/>
        <w:jc w:val="both"/>
        <w:rPr>
          <w:rFonts w:ascii="Times New Roman" w:hAnsi="Times New Roman"/>
          <w:sz w:val="24"/>
          <w:szCs w:val="24"/>
        </w:rPr>
      </w:pPr>
      <w:r>
        <w:rPr>
          <w:rFonts w:ascii="Times New Roman" w:hAnsi="Times New Roman"/>
          <w:b/>
          <w:bCs/>
          <w:sz w:val="24"/>
          <w:szCs w:val="24"/>
        </w:rPr>
        <w:t>GT Agrária</w:t>
      </w:r>
      <w:r>
        <w:rPr>
          <w:rFonts w:ascii="Times New Roman" w:hAnsi="Times New Roman"/>
          <w:sz w:val="24"/>
          <w:szCs w:val="24"/>
        </w:rPr>
        <w:t xml:space="preserve">: (Paulinho) Relatou sobre a reunião dos GT’s agrárias da AGB que ocorreu no XI SINGA. O GT Agrária da AGB Rio/Niterói é o único existente atualmente que está voltado especificamente para a questão agrária, outras seções locais ou ainda estão articulando ou possuem GT em eixos transversais (alimentação, agroecologia, etc.). O encontro se firmou para o próximo SINGA e foi discutido a necessidade de estimular publicações de relatos dos GT’s no espaço destinado a isso da revista Terra Livre. </w:t>
      </w:r>
    </w:p>
    <w:p>
      <w:pPr>
        <w:pStyle w:val="Normal"/>
        <w:jc w:val="both"/>
        <w:rPr>
          <w:rFonts w:ascii="Times New Roman" w:hAnsi="Times New Roman"/>
          <w:sz w:val="24"/>
          <w:szCs w:val="24"/>
        </w:rPr>
      </w:pPr>
      <w:r>
        <w:rPr>
          <w:rFonts w:ascii="Times New Roman" w:hAnsi="Times New Roman"/>
          <w:b/>
          <w:bCs/>
          <w:sz w:val="24"/>
          <w:szCs w:val="24"/>
        </w:rPr>
        <w:t>GT’s DEN:</w:t>
      </w:r>
    </w:p>
    <w:p>
      <w:pPr>
        <w:pStyle w:val="ListParagraph"/>
        <w:numPr>
          <w:ilvl w:val="0"/>
          <w:numId w:val="1"/>
        </w:numPr>
        <w:jc w:val="both"/>
        <w:rPr>
          <w:rFonts w:ascii="Times New Roman" w:hAnsi="Times New Roman"/>
          <w:sz w:val="24"/>
          <w:szCs w:val="24"/>
        </w:rPr>
      </w:pPr>
      <w:r>
        <w:rPr>
          <w:rFonts w:ascii="Times New Roman" w:hAnsi="Times New Roman"/>
          <w:b/>
          <w:bCs/>
          <w:sz w:val="24"/>
          <w:szCs w:val="24"/>
        </w:rPr>
        <w:t xml:space="preserve">Ingresso na graduação em geografia: - </w:t>
      </w:r>
      <w:r>
        <w:rPr>
          <w:rFonts w:ascii="Times New Roman" w:hAnsi="Times New Roman"/>
          <w:b w:val="false"/>
          <w:bCs w:val="false"/>
          <w:sz w:val="24"/>
          <w:szCs w:val="24"/>
        </w:rPr>
        <w:t>ainda não se reuniu</w:t>
      </w:r>
    </w:p>
    <w:p>
      <w:pPr>
        <w:pStyle w:val="ListParagraph"/>
        <w:numPr>
          <w:ilvl w:val="0"/>
          <w:numId w:val="1"/>
        </w:numPr>
        <w:jc w:val="both"/>
        <w:rPr>
          <w:rFonts w:ascii="Times New Roman" w:hAnsi="Times New Roman"/>
          <w:sz w:val="24"/>
          <w:szCs w:val="24"/>
        </w:rPr>
      </w:pPr>
      <w:r>
        <w:rPr>
          <w:rFonts w:ascii="Times New Roman" w:hAnsi="Times New Roman"/>
          <w:b/>
          <w:bCs/>
          <w:sz w:val="24"/>
          <w:szCs w:val="24"/>
        </w:rPr>
        <w:t xml:space="preserve">Políticas educacionais: </w:t>
      </w:r>
      <w:r>
        <w:rPr>
          <w:rFonts w:ascii="Times New Roman" w:hAnsi="Times New Roman"/>
          <w:sz w:val="24"/>
          <w:szCs w:val="24"/>
        </w:rPr>
        <w:t xml:space="preserve">(Renato) Relatou que as reuniões voltaram a acontecer após um pequeno hiato. O debate está em torno da resolução que pautou uma reforma na Diretriz Curricular Nacional (DCN) e está sendo produzido um documento da AGB em relação a essa reforma. Outro debate do GT gira em torno do Plano Nacional de Educação (PNE) que está para ser aprovado, foram sistematizadas as alterações promovidas mostrando como elas afetam os professores da educação básica através do estabelecimento de métricas e avaliações. A próxima reunião do GT irá concluir o documento da DCN. </w:t>
      </w:r>
    </w:p>
    <w:p>
      <w:pPr>
        <w:pStyle w:val="ListParagraph"/>
        <w:numPr>
          <w:ilvl w:val="0"/>
          <w:numId w:val="1"/>
        </w:numPr>
        <w:jc w:val="both"/>
        <w:rPr>
          <w:rFonts w:ascii="Times New Roman" w:hAnsi="Times New Roman"/>
          <w:sz w:val="24"/>
          <w:szCs w:val="24"/>
        </w:rPr>
      </w:pPr>
      <w:r>
        <w:rPr>
          <w:rFonts w:ascii="Times New Roman" w:hAnsi="Times New Roman"/>
          <w:b/>
          <w:bCs/>
          <w:sz w:val="24"/>
          <w:szCs w:val="24"/>
        </w:rPr>
        <w:t xml:space="preserve">Exercício profissional do geógrafo: - </w:t>
      </w:r>
      <w:r>
        <w:rPr>
          <w:rFonts w:ascii="Times New Roman" w:hAnsi="Times New Roman"/>
          <w:b w:val="false"/>
          <w:bCs w:val="false"/>
          <w:sz w:val="24"/>
          <w:szCs w:val="24"/>
        </w:rPr>
        <w:t>(Paulinho) ainda não se reuniu</w:t>
      </w:r>
    </w:p>
    <w:p>
      <w:pPr>
        <w:pStyle w:val="ListParagraph"/>
        <w:numPr>
          <w:ilvl w:val="0"/>
          <w:numId w:val="1"/>
        </w:numPr>
        <w:jc w:val="both"/>
        <w:rPr>
          <w:rFonts w:ascii="Times New Roman" w:hAnsi="Times New Roman"/>
          <w:sz w:val="24"/>
          <w:szCs w:val="24"/>
        </w:rPr>
      </w:pPr>
      <w:r>
        <w:rPr>
          <w:rFonts w:ascii="Times New Roman" w:hAnsi="Times New Roman"/>
          <w:b/>
          <w:bCs/>
          <w:sz w:val="24"/>
          <w:szCs w:val="24"/>
        </w:rPr>
        <w:t xml:space="preserve">Trabalho de campo: - </w:t>
      </w:r>
      <w:r>
        <w:rPr>
          <w:rFonts w:ascii="Times New Roman" w:hAnsi="Times New Roman"/>
          <w:b w:val="false"/>
          <w:bCs w:val="false"/>
          <w:sz w:val="24"/>
          <w:szCs w:val="24"/>
        </w:rPr>
        <w:t>(Pedro)</w:t>
      </w:r>
      <w:r>
        <w:rPr>
          <w:rFonts w:ascii="Times New Roman" w:hAnsi="Times New Roman"/>
          <w:b w:val="false"/>
          <w:bCs w:val="false"/>
          <w:sz w:val="24"/>
          <w:szCs w:val="24"/>
        </w:rPr>
        <w:t xml:space="preserve"> </w:t>
      </w:r>
      <w:r>
        <w:rPr>
          <w:rFonts w:ascii="Times New Roman" w:hAnsi="Times New Roman"/>
          <w:b w:val="false"/>
          <w:bCs w:val="false"/>
          <w:sz w:val="24"/>
          <w:szCs w:val="24"/>
        </w:rPr>
        <w:t>ainda não se reuniu</w:t>
      </w:r>
    </w:p>
    <w:p>
      <w:pPr>
        <w:pStyle w:val="ListParagraph"/>
        <w:numPr>
          <w:ilvl w:val="0"/>
          <w:numId w:val="1"/>
        </w:numPr>
        <w:jc w:val="both"/>
        <w:rPr>
          <w:rFonts w:ascii="Times New Roman" w:hAnsi="Times New Roman"/>
          <w:sz w:val="24"/>
          <w:szCs w:val="24"/>
        </w:rPr>
      </w:pPr>
      <w:r>
        <w:rPr>
          <w:rFonts w:ascii="Times New Roman" w:hAnsi="Times New Roman"/>
          <w:b/>
          <w:bCs/>
          <w:sz w:val="24"/>
          <w:szCs w:val="24"/>
        </w:rPr>
        <w:t xml:space="preserve">Pós-graduação: - </w:t>
      </w:r>
      <w:r>
        <w:rPr>
          <w:rFonts w:ascii="Times New Roman" w:hAnsi="Times New Roman"/>
          <w:b w:val="false"/>
          <w:bCs w:val="false"/>
          <w:sz w:val="24"/>
          <w:szCs w:val="24"/>
        </w:rPr>
        <w:t>ainda não se reuniu</w:t>
      </w:r>
    </w:p>
    <w:p>
      <w:pPr>
        <w:pStyle w:val="ListParagraph"/>
        <w:ind w:hanging="0" w:start="0"/>
        <w:jc w:val="both"/>
        <w:rPr>
          <w:rFonts w:ascii="Times New Roman" w:hAnsi="Times New Roman"/>
          <w:b/>
          <w:bCs/>
          <w:sz w:val="24"/>
          <w:szCs w:val="24"/>
        </w:rPr>
      </w:pPr>
      <w:r>
        <w:rPr>
          <w:rFonts w:ascii="Times New Roman" w:hAnsi="Times New Roman"/>
          <w:b/>
          <w:bCs/>
          <w:sz w:val="24"/>
          <w:szCs w:val="24"/>
        </w:rPr>
      </w:r>
    </w:p>
    <w:p>
      <w:pPr>
        <w:pStyle w:val="ListParagraph"/>
        <w:ind w:hanging="0" w:start="0"/>
        <w:jc w:val="both"/>
        <w:rPr>
          <w:rFonts w:ascii="Times New Roman" w:hAnsi="Times New Roman"/>
          <w:b w:val="false"/>
          <w:bCs w:val="false"/>
          <w:sz w:val="24"/>
          <w:szCs w:val="24"/>
        </w:rPr>
      </w:pPr>
      <w:r>
        <w:rPr>
          <w:rFonts w:ascii="Times New Roman" w:hAnsi="Times New Roman"/>
          <w:b w:val="false"/>
          <w:bCs w:val="false"/>
          <w:sz w:val="24"/>
          <w:szCs w:val="24"/>
        </w:rPr>
        <w:t>Propôs-se a troca de representações da AGB Rio em dois desses GTs: Luis passa a integrar o de “Sistema de Pós-graduação da Geografia” e André o de “Formas de Ingressos na Graduação em Geografia”.</w:t>
      </w:r>
    </w:p>
    <w:p>
      <w:pPr>
        <w:pStyle w:val="ListParagraph"/>
        <w:jc w:val="both"/>
        <w:rPr>
          <w:rFonts w:ascii="Times New Roman" w:hAnsi="Times New Roman"/>
          <w:b/>
          <w:bCs/>
          <w:sz w:val="24"/>
          <w:szCs w:val="24"/>
        </w:rPr>
      </w:pPr>
      <w:r>
        <w:rPr>
          <w:rFonts w:ascii="Times New Roman" w:hAnsi="Times New Roman"/>
          <w:b/>
          <w:bCs/>
          <w:sz w:val="24"/>
          <w:szCs w:val="24"/>
        </w:rPr>
      </w:r>
    </w:p>
    <w:p>
      <w:pPr>
        <w:pStyle w:val="ListParagraph"/>
        <w:ind w:start="0"/>
        <w:jc w:val="both"/>
        <w:rPr>
          <w:rFonts w:ascii="Times New Roman" w:hAnsi="Times New Roman"/>
          <w:sz w:val="24"/>
          <w:szCs w:val="24"/>
        </w:rPr>
      </w:pPr>
      <w:r>
        <w:rPr>
          <w:rFonts w:ascii="Times New Roman" w:hAnsi="Times New Roman"/>
          <w:b/>
          <w:bCs/>
          <w:sz w:val="24"/>
          <w:szCs w:val="24"/>
        </w:rPr>
        <w:t xml:space="preserve">Coletivo comunicação: </w:t>
      </w:r>
      <w:r>
        <w:rPr>
          <w:rFonts w:ascii="Times New Roman" w:hAnsi="Times New Roman"/>
          <w:sz w:val="24"/>
          <w:szCs w:val="24"/>
        </w:rPr>
        <w:t xml:space="preserve">Diálogo em torno do novo site: o que fazer com o site antigo? Como migrar as informações? A ser conversado nas próximas reuniões. </w:t>
      </w:r>
    </w:p>
    <w:p>
      <w:pPr>
        <w:pStyle w:val="ListParagraph"/>
        <w:ind w:start="0"/>
        <w:jc w:val="both"/>
        <w:rPr>
          <w:rFonts w:ascii="Times New Roman" w:hAnsi="Times New Roman"/>
          <w:sz w:val="24"/>
          <w:szCs w:val="24"/>
        </w:rPr>
      </w:pPr>
      <w:r>
        <w:rPr>
          <w:rFonts w:ascii="Times New Roman" w:hAnsi="Times New Roman"/>
          <w:sz w:val="24"/>
          <w:szCs w:val="24"/>
        </w:rPr>
      </w:r>
    </w:p>
    <w:p>
      <w:pPr>
        <w:pStyle w:val="ListParagraph"/>
        <w:ind w:start="0"/>
        <w:jc w:val="both"/>
        <w:rPr>
          <w:rFonts w:ascii="Times New Roman" w:hAnsi="Times New Roman"/>
          <w:sz w:val="24"/>
          <w:szCs w:val="24"/>
        </w:rPr>
      </w:pPr>
      <w:r>
        <w:rPr>
          <w:rFonts w:ascii="Times New Roman" w:hAnsi="Times New Roman"/>
          <w:b/>
          <w:bCs/>
          <w:sz w:val="24"/>
          <w:szCs w:val="24"/>
        </w:rPr>
        <w:t xml:space="preserve">ENCONTRO NACIONAL DE GEÓGRAFOS E GEÓGRAFAS (ENG): </w:t>
      </w:r>
    </w:p>
    <w:p>
      <w:pPr>
        <w:pStyle w:val="ListParagraph"/>
        <w:ind w:start="0"/>
        <w:jc w:val="both"/>
        <w:rPr>
          <w:rFonts w:ascii="Times New Roman" w:hAnsi="Times New Roman"/>
          <w:b/>
          <w:bCs/>
          <w:sz w:val="24"/>
          <w:szCs w:val="24"/>
        </w:rPr>
      </w:pPr>
      <w:r>
        <w:rPr>
          <w:rFonts w:ascii="Times New Roman" w:hAnsi="Times New Roman"/>
          <w:b/>
          <w:bCs/>
          <w:sz w:val="24"/>
          <w:szCs w:val="24"/>
        </w:rPr>
      </w:r>
    </w:p>
    <w:p>
      <w:pPr>
        <w:pStyle w:val="ListParagraph"/>
        <w:ind w:start="0"/>
        <w:jc w:val="both"/>
        <w:rPr>
          <w:rFonts w:ascii="Times New Roman" w:hAnsi="Times New Roman"/>
          <w:sz w:val="24"/>
          <w:szCs w:val="24"/>
        </w:rPr>
      </w:pPr>
      <w:r>
        <w:rPr>
          <w:rFonts w:ascii="Times New Roman" w:hAnsi="Times New Roman"/>
          <w:sz w:val="24"/>
          <w:szCs w:val="24"/>
        </w:rPr>
        <w:t xml:space="preserve">(Luis) Relatou que começou a articular a comissão responsável pelos ESCs, ainda se faz necessário iniciar as mobilizações pro ENG na rua. Em relação às mesas para o evento, (Paulinho) sugeriu recuperar as propostas enviadas pela AGB Rio para o CBG em 2024 e realizar qualquer alteração que se faça necessária, além disso (Luis) lembrou que os temas de eixos que não foram incorporados podem ser reciclados como proposta de mesa para o evento. </w:t>
      </w:r>
    </w:p>
    <w:p>
      <w:pPr>
        <w:pStyle w:val="ListParagraph"/>
        <w:ind w:start="0"/>
        <w:jc w:val="both"/>
        <w:rPr>
          <w:rFonts w:ascii="Times New Roman" w:hAnsi="Times New Roman"/>
          <w:sz w:val="24"/>
          <w:szCs w:val="24"/>
        </w:rPr>
      </w:pPr>
      <w:r>
        <w:rPr>
          <w:rFonts w:ascii="Times New Roman" w:hAnsi="Times New Roman"/>
          <w:sz w:val="24"/>
          <w:szCs w:val="24"/>
        </w:rPr>
        <w:t xml:space="preserve">Sobre a conferência de abertura, (Paulinho) entende que a mesa deve ir na linha do título do evento. Para a conferência de encerramento, (André) acha que devem ser exploradas a dimensão das lutas que aparecem no título, lutas sociais continuadas para além das eleições nacionais que estarão fortes no imaginário dos participantes. Em relação a programação do evento, foi discutida a importância de manter a realização da plenária política no meio do evento (e não apenas no final). Outra questão é observar a concomitância entres o ESCs e o fórum de GTs. </w:t>
      </w:r>
    </w:p>
    <w:p>
      <w:pPr>
        <w:pStyle w:val="ListParagraph"/>
        <w:ind w:start="0"/>
        <w:jc w:val="both"/>
        <w:rPr>
          <w:rFonts w:ascii="Times New Roman" w:hAnsi="Times New Roman"/>
          <w:sz w:val="24"/>
          <w:szCs w:val="24"/>
        </w:rPr>
      </w:pPr>
      <w:r>
        <w:rPr>
          <w:rFonts w:ascii="Times New Roman" w:hAnsi="Times New Roman"/>
          <w:sz w:val="24"/>
          <w:szCs w:val="24"/>
        </w:rPr>
      </w:r>
    </w:p>
    <w:p>
      <w:pPr>
        <w:pStyle w:val="ListParagraph"/>
        <w:ind w:start="0"/>
        <w:jc w:val="both"/>
        <w:rPr>
          <w:rFonts w:ascii="Times New Roman" w:hAnsi="Times New Roman"/>
          <w:sz w:val="24"/>
          <w:szCs w:val="24"/>
        </w:rPr>
      </w:pPr>
      <w:r>
        <w:rPr>
          <w:rFonts w:ascii="Times New Roman" w:hAnsi="Times New Roman"/>
          <w:b/>
          <w:bCs/>
          <w:sz w:val="24"/>
          <w:szCs w:val="24"/>
        </w:rPr>
        <w:t xml:space="preserve">Diretrizes temáticas FALA PROFESSOR(A)! Ilhéus: </w:t>
      </w:r>
    </w:p>
    <w:p>
      <w:pPr>
        <w:pStyle w:val="ListParagraph"/>
        <w:ind w:start="0"/>
        <w:jc w:val="both"/>
        <w:rPr>
          <w:rFonts w:ascii="Times New Roman" w:hAnsi="Times New Roman"/>
          <w:b/>
          <w:bCs/>
          <w:sz w:val="24"/>
          <w:szCs w:val="24"/>
        </w:rPr>
      </w:pPr>
      <w:r>
        <w:rPr>
          <w:rFonts w:ascii="Times New Roman" w:hAnsi="Times New Roman"/>
          <w:b/>
          <w:bCs/>
          <w:sz w:val="24"/>
          <w:szCs w:val="24"/>
        </w:rPr>
      </w:r>
    </w:p>
    <w:p>
      <w:pPr>
        <w:pStyle w:val="ListParagraph"/>
        <w:ind w:start="0"/>
        <w:jc w:val="both"/>
        <w:rPr>
          <w:rFonts w:ascii="Times New Roman" w:hAnsi="Times New Roman"/>
          <w:sz w:val="24"/>
          <w:szCs w:val="24"/>
        </w:rPr>
      </w:pPr>
      <w:r>
        <w:rPr>
          <w:rFonts w:ascii="Times New Roman" w:hAnsi="Times New Roman"/>
          <w:sz w:val="24"/>
          <w:szCs w:val="24"/>
        </w:rPr>
        <w:t xml:space="preserve">Os participanetes manifestaram concordância com os temas relatados na carta AGB-SP pensando também as ofensivas do capital sobre a educação (agronegócio, mineração, plataformas); outros temas como educação popular, saúde mental dos professores e dos alunos e condições do trabalho docente também foram levantados. </w:t>
      </w:r>
    </w:p>
    <w:p>
      <w:pPr>
        <w:pStyle w:val="ListParagraph"/>
        <w:ind w:start="0"/>
        <w:jc w:val="both"/>
        <w:rPr>
          <w:rFonts w:ascii="Times New Roman" w:hAnsi="Times New Roman"/>
          <w:sz w:val="24"/>
          <w:szCs w:val="24"/>
        </w:rPr>
      </w:pPr>
      <w:r>
        <w:rPr>
          <w:rFonts w:ascii="Times New Roman" w:hAnsi="Times New Roman"/>
          <w:sz w:val="24"/>
          <w:szCs w:val="24"/>
        </w:rPr>
      </w:r>
    </w:p>
    <w:p>
      <w:pPr>
        <w:pStyle w:val="ListParagraph"/>
        <w:ind w:start="0"/>
        <w:jc w:val="both"/>
        <w:rPr>
          <w:rFonts w:ascii="Times New Roman" w:hAnsi="Times New Roman"/>
          <w:sz w:val="24"/>
          <w:szCs w:val="24"/>
        </w:rPr>
      </w:pPr>
      <w:r>
        <w:rPr>
          <w:rFonts w:ascii="Times New Roman" w:hAnsi="Times New Roman"/>
          <w:b/>
          <w:bCs/>
          <w:sz w:val="24"/>
          <w:szCs w:val="24"/>
        </w:rPr>
        <w:t xml:space="preserve">DELEGADO ELEITO PARA A 151ª REUNIÃO DE GESTÃO COLETIVA: André Oliveira </w:t>
      </w:r>
    </w:p>
    <w:p>
      <w:pPr>
        <w:pStyle w:val="ListParagraph"/>
        <w:ind w:start="0"/>
        <w:jc w:val="both"/>
        <w:rPr>
          <w:rFonts w:ascii="Times New Roman" w:hAnsi="Times New Roman"/>
          <w:b/>
          <w:bCs/>
          <w:sz w:val="24"/>
          <w:szCs w:val="24"/>
        </w:rPr>
      </w:pPr>
      <w:r>
        <w:rPr>
          <w:rFonts w:ascii="Times New Roman" w:hAnsi="Times New Roman"/>
          <w:b/>
          <w:bCs/>
          <w:sz w:val="24"/>
          <w:szCs w:val="24"/>
        </w:rPr>
      </w:r>
    </w:p>
    <w:p>
      <w:pPr>
        <w:pStyle w:val="ListParagraph"/>
        <w:ind w:start="0"/>
        <w:jc w:val="both"/>
        <w:rPr>
          <w:rFonts w:ascii="Times New Roman" w:hAnsi="Times New Roman"/>
          <w:sz w:val="24"/>
          <w:szCs w:val="24"/>
        </w:rPr>
      </w:pPr>
      <w:r>
        <w:rPr>
          <w:rFonts w:ascii="Times New Roman" w:hAnsi="Times New Roman"/>
          <w:b/>
          <w:bCs/>
          <w:sz w:val="24"/>
          <w:szCs w:val="24"/>
        </w:rPr>
        <w:t xml:space="preserve">Próximas reuniões: </w:t>
      </w:r>
    </w:p>
    <w:p>
      <w:pPr>
        <w:pStyle w:val="ListParagraph"/>
        <w:ind w:start="0"/>
        <w:jc w:val="both"/>
        <w:rPr>
          <w:rFonts w:ascii="Times New Roman" w:hAnsi="Times New Roman"/>
          <w:b/>
          <w:bCs/>
          <w:sz w:val="24"/>
          <w:szCs w:val="24"/>
        </w:rPr>
      </w:pPr>
      <w:r>
        <w:rPr>
          <w:rFonts w:ascii="Times New Roman" w:hAnsi="Times New Roman"/>
          <w:b/>
          <w:bCs/>
          <w:sz w:val="24"/>
          <w:szCs w:val="24"/>
        </w:rPr>
      </w:r>
    </w:p>
    <w:p>
      <w:pPr>
        <w:pStyle w:val="ListParagraph"/>
        <w:ind w:start="0"/>
        <w:jc w:val="both"/>
        <w:rPr>
          <w:rFonts w:ascii="Times New Roman" w:hAnsi="Times New Roman"/>
          <w:sz w:val="24"/>
          <w:szCs w:val="24"/>
        </w:rPr>
      </w:pPr>
      <w:r>
        <w:rPr>
          <w:rFonts w:ascii="Times New Roman" w:hAnsi="Times New Roman"/>
          <w:b/>
          <w:bCs/>
          <w:sz w:val="24"/>
          <w:szCs w:val="24"/>
        </w:rPr>
        <w:t>08/11 às 15h (Reunião)</w:t>
      </w:r>
    </w:p>
    <w:p>
      <w:pPr>
        <w:pStyle w:val="ListParagraph"/>
        <w:ind w:start="0"/>
        <w:jc w:val="both"/>
        <w:rPr>
          <w:rFonts w:ascii="Times New Roman" w:hAnsi="Times New Roman"/>
          <w:b/>
          <w:bCs/>
          <w:sz w:val="24"/>
          <w:szCs w:val="24"/>
        </w:rPr>
      </w:pPr>
      <w:r>
        <w:rPr>
          <w:rFonts w:ascii="Times New Roman" w:hAnsi="Times New Roman"/>
          <w:b/>
          <w:bCs/>
          <w:sz w:val="24"/>
          <w:szCs w:val="24"/>
        </w:rPr>
      </w:r>
    </w:p>
    <w:p>
      <w:pPr>
        <w:pStyle w:val="ListParagraph"/>
        <w:spacing w:before="0" w:after="160"/>
        <w:ind w:start="0"/>
        <w:contextualSpacing/>
        <w:jc w:val="both"/>
        <w:rPr>
          <w:rFonts w:ascii="Times New Roman" w:hAnsi="Times New Roman"/>
          <w:sz w:val="24"/>
          <w:szCs w:val="24"/>
        </w:rPr>
      </w:pPr>
      <w:r>
        <w:rPr>
          <w:rFonts w:ascii="Times New Roman" w:hAnsi="Times New Roman"/>
          <w:b/>
          <w:bCs/>
          <w:sz w:val="24"/>
          <w:szCs w:val="24"/>
        </w:rPr>
        <w:t xml:space="preserve">13/12 às 10h (Assembleia)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paragraph" w:styleId="Heading1">
    <w:name w:val="heading 1"/>
    <w:basedOn w:val="Normal"/>
    <w:next w:val="Normal"/>
    <w:link w:val="Ttulo1Char"/>
    <w:uiPriority w:val="9"/>
    <w:qFormat/>
    <w:rsid w:val="00cc1b8f"/>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Ttulo2Char"/>
    <w:uiPriority w:val="9"/>
    <w:semiHidden/>
    <w:unhideWhenUsed/>
    <w:qFormat/>
    <w:rsid w:val="00cc1b8f"/>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Ttulo3Char"/>
    <w:uiPriority w:val="9"/>
    <w:semiHidden/>
    <w:unhideWhenUsed/>
    <w:qFormat/>
    <w:rsid w:val="00cc1b8f"/>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Ttulo4Char"/>
    <w:uiPriority w:val="9"/>
    <w:semiHidden/>
    <w:unhideWhenUsed/>
    <w:qFormat/>
    <w:rsid w:val="00cc1b8f"/>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Ttulo5Char"/>
    <w:uiPriority w:val="9"/>
    <w:semiHidden/>
    <w:unhideWhenUsed/>
    <w:qFormat/>
    <w:rsid w:val="00cc1b8f"/>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Ttulo6Char"/>
    <w:uiPriority w:val="9"/>
    <w:semiHidden/>
    <w:unhideWhenUsed/>
    <w:qFormat/>
    <w:rsid w:val="00cc1b8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cc1b8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cc1b8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cc1b8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cc1b8f"/>
    <w:rPr>
      <w:rFonts w:ascii="Calibri Light" w:hAnsi="Calibri Light" w:eastAsia="" w:cs="" w:asciiTheme="majorHAnsi" w:cstheme="majorBidi" w:eastAsiaTheme="majorEastAsia" w:hAnsiTheme="majorHAnsi"/>
      <w:color w:themeColor="accent1" w:themeShade="bf" w:val="2E74B5"/>
      <w:sz w:val="40"/>
      <w:szCs w:val="40"/>
    </w:rPr>
  </w:style>
  <w:style w:type="character" w:styleId="Ttulo2Char" w:customStyle="1">
    <w:name w:val="Título 2 Char"/>
    <w:basedOn w:val="DefaultParagraphFont"/>
    <w:uiPriority w:val="9"/>
    <w:semiHidden/>
    <w:qFormat/>
    <w:rsid w:val="00cc1b8f"/>
    <w:rPr>
      <w:rFonts w:ascii="Calibri Light" w:hAnsi="Calibri Light" w:eastAsia="" w:cs="" w:asciiTheme="majorHAnsi" w:cstheme="majorBidi" w:eastAsiaTheme="majorEastAsia" w:hAnsiTheme="majorHAnsi"/>
      <w:color w:themeColor="accent1" w:themeShade="bf" w:val="2E74B5"/>
      <w:sz w:val="32"/>
      <w:szCs w:val="32"/>
    </w:rPr>
  </w:style>
  <w:style w:type="character" w:styleId="Ttulo3Char" w:customStyle="1">
    <w:name w:val="Título 3 Char"/>
    <w:basedOn w:val="DefaultParagraphFont"/>
    <w:uiPriority w:val="9"/>
    <w:semiHidden/>
    <w:qFormat/>
    <w:rsid w:val="00cc1b8f"/>
    <w:rPr>
      <w:rFonts w:eastAsia="" w:cs="" w:cstheme="majorBidi" w:eastAsiaTheme="majorEastAsia"/>
      <w:color w:themeColor="accent1" w:themeShade="bf" w:val="2E74B5"/>
      <w:sz w:val="28"/>
      <w:szCs w:val="28"/>
    </w:rPr>
  </w:style>
  <w:style w:type="character" w:styleId="Ttulo4Char" w:customStyle="1">
    <w:name w:val="Título 4 Char"/>
    <w:basedOn w:val="DefaultParagraphFont"/>
    <w:uiPriority w:val="9"/>
    <w:semiHidden/>
    <w:qFormat/>
    <w:rsid w:val="00cc1b8f"/>
    <w:rPr>
      <w:rFonts w:eastAsia="" w:cs="" w:cstheme="majorBidi" w:eastAsiaTheme="majorEastAsia"/>
      <w:i/>
      <w:iCs/>
      <w:color w:themeColor="accent1" w:themeShade="bf" w:val="2E74B5"/>
    </w:rPr>
  </w:style>
  <w:style w:type="character" w:styleId="Ttulo5Char" w:customStyle="1">
    <w:name w:val="Título 5 Char"/>
    <w:basedOn w:val="DefaultParagraphFont"/>
    <w:uiPriority w:val="9"/>
    <w:semiHidden/>
    <w:qFormat/>
    <w:rsid w:val="00cc1b8f"/>
    <w:rPr>
      <w:rFonts w:eastAsia="" w:cs="" w:cstheme="majorBidi" w:eastAsiaTheme="majorEastAsia"/>
      <w:color w:themeColor="accent1" w:themeShade="bf" w:val="2E74B5"/>
    </w:rPr>
  </w:style>
  <w:style w:type="character" w:styleId="Ttulo6Char" w:customStyle="1">
    <w:name w:val="Título 6 Char"/>
    <w:basedOn w:val="DefaultParagraphFont"/>
    <w:uiPriority w:val="9"/>
    <w:semiHidden/>
    <w:qFormat/>
    <w:rsid w:val="00cc1b8f"/>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cc1b8f"/>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cc1b8f"/>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cc1b8f"/>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cc1b8f"/>
    <w:rPr>
      <w:rFonts w:ascii="Calibri Light" w:hAnsi="Calibri Light"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cc1b8f"/>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cc1b8f"/>
    <w:rPr>
      <w:i/>
      <w:iCs/>
      <w:color w:themeColor="text1" w:themeTint="bf" w:val="404040"/>
    </w:rPr>
  </w:style>
  <w:style w:type="character" w:styleId="IntenseEmphasis">
    <w:name w:val="Intense Emphasis"/>
    <w:basedOn w:val="DefaultParagraphFont"/>
    <w:uiPriority w:val="21"/>
    <w:qFormat/>
    <w:rsid w:val="00cc1b8f"/>
    <w:rPr>
      <w:i/>
      <w:iCs/>
      <w:color w:themeColor="accent1" w:themeShade="bf" w:val="2E74B5"/>
    </w:rPr>
  </w:style>
  <w:style w:type="character" w:styleId="CitaoIntensaChar" w:customStyle="1">
    <w:name w:val="Citação Intensa Char"/>
    <w:basedOn w:val="DefaultParagraphFont"/>
    <w:link w:val="IntenseQuote"/>
    <w:uiPriority w:val="30"/>
    <w:qFormat/>
    <w:rsid w:val="00cc1b8f"/>
    <w:rPr>
      <w:i/>
      <w:iCs/>
      <w:color w:themeColor="accent1" w:themeShade="bf" w:val="2E74B5"/>
    </w:rPr>
  </w:style>
  <w:style w:type="character" w:styleId="IntenseReference">
    <w:name w:val="Intense Reference"/>
    <w:basedOn w:val="DefaultParagraphFont"/>
    <w:uiPriority w:val="32"/>
    <w:qFormat/>
    <w:rsid w:val="00cc1b8f"/>
    <w:rPr>
      <w:b/>
      <w:bCs/>
      <w:smallCaps/>
      <w:color w:themeColor="accent1" w:themeShade="bf" w:val="2E74B5"/>
      <w:spacing w:val="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link w:val="TtuloChar"/>
    <w:uiPriority w:val="10"/>
    <w:qFormat/>
    <w:rsid w:val="00cc1b8f"/>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cc1b8f"/>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cc1b8f"/>
    <w:pPr>
      <w:spacing w:before="160" w:after="160"/>
      <w:jc w:val="center"/>
    </w:pPr>
    <w:rPr>
      <w:i/>
      <w:iCs/>
      <w:color w:themeColor="text1" w:themeTint="bf" w:val="404040"/>
    </w:rPr>
  </w:style>
  <w:style w:type="paragraph" w:styleId="ListParagraph">
    <w:name w:val="List Paragraph"/>
    <w:basedOn w:val="Normal"/>
    <w:uiPriority w:val="34"/>
    <w:qFormat/>
    <w:rsid w:val="00cc1b8f"/>
    <w:pPr>
      <w:spacing w:before="0" w:after="160"/>
      <w:ind w:start="720"/>
      <w:contextualSpacing/>
    </w:pPr>
    <w:rPr/>
  </w:style>
  <w:style w:type="paragraph" w:styleId="IntenseQuote">
    <w:name w:val="Intense Quote"/>
    <w:basedOn w:val="Normal"/>
    <w:next w:val="Normal"/>
    <w:link w:val="CitaoIntensaChar"/>
    <w:uiPriority w:val="30"/>
    <w:qFormat/>
    <w:rsid w:val="00cc1b8f"/>
    <w:pPr>
      <w:pBdr>
        <w:top w:val="single" w:sz="4" w:space="10" w:color="2E74B5" w:themeColor="accent1" w:themeShade="bf"/>
        <w:bottom w:val="single" w:sz="4" w:space="10" w:color="2E74B5" w:themeColor="accent1" w:themeShade="bf"/>
      </w:pBdr>
      <w:spacing w:before="360" w:after="360"/>
      <w:ind w:start="864" w:end="864"/>
      <w:jc w:val="center"/>
    </w:pPr>
    <w:rPr>
      <w:i/>
      <w:iCs/>
      <w:color w:themeColor="accent1" w:themeShade="bf" w:val="2E74B5"/>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Application>LibreOffice/25.8.2.2$Windows_X86_64 LibreOffice_project/d401f2107ccab8f924a8e2df40f573aab7605b6f</Application>
  <AppVersion>15.0000</AppVersion>
  <Pages>2</Pages>
  <Words>680</Words>
  <Characters>3546</Characters>
  <CharactersWithSpaces>4214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language>pt-BR</dc:language>
  <dc:subject/>
  <dc:title/>
</cp:coreProperties>
</file>

<file path=docProps/custom.xml><?xml version="1.0" encoding="utf-8"?>
<Properties xmlns="http://schemas.openxmlformats.org/officeDocument/2006/custom-properties" xmlns:vt="http://schemas.openxmlformats.org/officeDocument/2006/docPropsVTypes"/>
</file>